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6227ED" w14:textId="7EC86E09" w:rsidR="00A24BDC" w:rsidRDefault="00A24BDC" w:rsidP="00A24BDC">
      <w:pPr>
        <w:spacing w:after="0"/>
        <w:jc w:val="center"/>
        <w:rPr>
          <w:b/>
          <w:bCs/>
        </w:rPr>
      </w:pPr>
      <w:r>
        <w:rPr>
          <w:b/>
          <w:bCs/>
        </w:rPr>
        <w:t>Mirar con atención. Primer acto para pensar la c</w:t>
      </w:r>
      <w:r>
        <w:rPr>
          <w:b/>
          <w:bCs/>
        </w:rPr>
        <w:t>onvivencia desde la Universidad</w:t>
      </w:r>
    </w:p>
    <w:p w14:paraId="42F9ED41" w14:textId="430F4467" w:rsidR="00A24BDC" w:rsidRDefault="00A24BDC" w:rsidP="00A24BDC">
      <w:pPr>
        <w:spacing w:after="0"/>
        <w:jc w:val="center"/>
        <w:rPr>
          <w:b/>
        </w:rPr>
      </w:pPr>
      <w:r w:rsidRPr="00A24BDC">
        <w:rPr>
          <w:b/>
        </w:rPr>
        <w:t>Lectio Brevis, lección inau</w:t>
      </w:r>
      <w:r w:rsidRPr="00A24BDC">
        <w:rPr>
          <w:b/>
        </w:rPr>
        <w:t>gural del periodo académico 2022-2023</w:t>
      </w:r>
    </w:p>
    <w:p w14:paraId="670D218E" w14:textId="7E0A9E41" w:rsidR="00A24BDC" w:rsidRPr="00A24BDC" w:rsidRDefault="00A24BDC" w:rsidP="00A24BDC">
      <w:pPr>
        <w:spacing w:after="0"/>
        <w:jc w:val="center"/>
        <w:rPr>
          <w:b/>
        </w:rPr>
      </w:pPr>
      <w:r>
        <w:rPr>
          <w:b/>
        </w:rPr>
        <w:t>22 de agosto de 2023</w:t>
      </w:r>
    </w:p>
    <w:p w14:paraId="27BA4360" w14:textId="2205E76C" w:rsidR="00A24BDC" w:rsidRDefault="00A24BDC" w:rsidP="00A24BDC">
      <w:pPr>
        <w:spacing w:before="120"/>
        <w:contextualSpacing/>
        <w:jc w:val="center"/>
        <w:rPr>
          <w:b/>
          <w:bCs/>
        </w:rPr>
      </w:pPr>
      <w:r>
        <w:rPr>
          <w:b/>
          <w:bCs/>
        </w:rPr>
        <w:t>Alejandra de la Torre Díaz</w:t>
      </w:r>
      <w:r>
        <w:rPr>
          <w:rStyle w:val="Refdenotaalpie"/>
          <w:b/>
          <w:bCs/>
        </w:rPr>
        <w:footnoteReference w:id="1"/>
      </w:r>
      <w:bookmarkStart w:id="0" w:name="_GoBack"/>
      <w:bookmarkEnd w:id="0"/>
    </w:p>
    <w:p w14:paraId="4767BD99" w14:textId="77777777" w:rsidR="00A24BDC" w:rsidRPr="004612DA" w:rsidRDefault="00A24BDC" w:rsidP="00B634C0">
      <w:pPr>
        <w:spacing w:before="120"/>
        <w:jc w:val="both"/>
        <w:rPr>
          <w:b/>
          <w:bCs/>
        </w:rPr>
      </w:pPr>
    </w:p>
    <w:p w14:paraId="4423F7E3" w14:textId="77777777" w:rsidR="00B634C0" w:rsidRDefault="00B634C0" w:rsidP="00B634C0">
      <w:pPr>
        <w:pStyle w:val="Prrafodelista"/>
        <w:numPr>
          <w:ilvl w:val="0"/>
          <w:numId w:val="2"/>
        </w:numPr>
        <w:spacing w:before="120"/>
        <w:jc w:val="both"/>
      </w:pPr>
      <w:r>
        <w:t xml:space="preserve">Introducción </w:t>
      </w:r>
    </w:p>
    <w:p w14:paraId="32E99C4D" w14:textId="77777777" w:rsidR="00B634C0" w:rsidRDefault="00B634C0" w:rsidP="00B634C0">
      <w:pPr>
        <w:spacing w:before="120"/>
        <w:jc w:val="both"/>
      </w:pPr>
      <w:r>
        <w:t>Hace unos meses, mi hija de tres años, Sara, me corrigió la plana en el proceso de crianza al decirme, en un momento en que la regañé y le dije “niña”, que no era “niña”, le pregunté entonces ¿qué era? Y me dijo “soy persona”. Su respuesta me pareció ingeniosa y me hizo reír, aunque sé que eso no significaba lo mismo para ella que para mí. En el momento le dije que tenía toda la razón, pero después me arrepentí de no haberle preguntado qué me quiso decir. Sin embargo, sí le dediqué un momento para pensar qué significaba eso para mí.</w:t>
      </w:r>
    </w:p>
    <w:p w14:paraId="471E11D6" w14:textId="77777777" w:rsidR="00B634C0" w:rsidRDefault="00B634C0" w:rsidP="00B634C0">
      <w:pPr>
        <w:spacing w:before="120"/>
        <w:jc w:val="both"/>
      </w:pPr>
      <w:r>
        <w:t>Pensar que Sara no es sólo niña, tampoco sólo mi hija, sino una persona, me llevó al recordatorio de todas nuestras relaciones simbólicas a nivel corporal, natural y social. Ser persona es tener como condición la comunidad, que solo puede suceder con el pacto de convivencia. Sé que esto nos mete a temas filosóficos y antropológicos, y no pretendo retomar la reflexión por este camino, más bien, quisiera regresar la pregunta en un contexto como el que estamos: ¿qué significa ser persona para ustedes? Y en el marco de una universidad que está comenzando un nuevo periodo, en el que cada uno/a tendremos un rol activo como profesores/as o estudiantes, siendo personas, es decir, desde el pacto de convivencia.</w:t>
      </w:r>
    </w:p>
    <w:p w14:paraId="679F0CBE" w14:textId="77777777" w:rsidR="00B634C0" w:rsidRDefault="00B634C0" w:rsidP="00B634C0">
      <w:pPr>
        <w:spacing w:before="120"/>
        <w:jc w:val="both"/>
      </w:pPr>
      <w:r>
        <w:t xml:space="preserve">Nuestra cotidianidad es un recordatorio constante de ese pacto. Cuando nos vestimos para salir, cuando caminamos por la calle, cuando vamos a la tienda, cuando circulamos en coche, cuando nos subimos al camión, cuando hacemos fila en el banco, cuando estamos lado al lado en una butaca en el salón de clases, y cuando conversamos con nuestras amistades… todas esas conductas obedecen a un pacto de convivencia. Y, sin embargo, es solo en la Universidad en donde podemos revisar su contenido. La Universidad es un espacio privilegiado que nos lleva a revisar esos acuerdos implícitos y, por lo tanto, nuestra constitución como personas, nuestra humanidad. </w:t>
      </w:r>
    </w:p>
    <w:p w14:paraId="5BB8B23C" w14:textId="77777777" w:rsidR="00B634C0" w:rsidRDefault="00B634C0" w:rsidP="00B634C0">
      <w:pPr>
        <w:spacing w:before="120"/>
        <w:jc w:val="both"/>
      </w:pPr>
      <w:r>
        <w:t xml:space="preserve">Esto adquiere especial relevancia en un dramático contexto como en el que estamos ahora, en que no podemos confiar en que nuestra salida a la calle sea segura. Es decir, que esos pactos sociales sean respetados, </w:t>
      </w:r>
      <w:r w:rsidRPr="006F346C">
        <w:t xml:space="preserve">primero por nuestras autoridades y después por todas las personas que habitamos un mismo espacio. A pesar de ello salimos, estudiamos, vamos a trabajar, nos divertimos, viajamos… ¿por qué? Cada una/o de ustedes tendrá su respuesta, y todas esas respuestas nos devuelven, como un espejo, nuestra humanidad. </w:t>
      </w:r>
      <w:r>
        <w:t>Así, por ejemplo, a</w:t>
      </w:r>
      <w:r w:rsidRPr="006F346C">
        <w:t>nte la pregunta de “Ante</w:t>
      </w:r>
      <w:r>
        <w:t xml:space="preserve"> la situación de violencia que sufrimos en nuestro país, que hace que ya no nos sintamos seguras y seguros...  ¿Qué es lo que te hace animarte a continuar saliendo a la calle para estudiar, trabajar, divertirte, etc.? 120 estudiantes de verano respondieron así:</w:t>
      </w:r>
    </w:p>
    <w:p w14:paraId="579A8023" w14:textId="77777777" w:rsidR="00B634C0" w:rsidRDefault="00B634C0" w:rsidP="00B634C0">
      <w:pPr>
        <w:spacing w:before="120"/>
        <w:jc w:val="center"/>
      </w:pPr>
      <w:r>
        <w:rPr>
          <w:noProof/>
          <w:lang w:eastAsia="es-MX"/>
        </w:rPr>
        <w:lastRenderedPageBreak/>
        <w:drawing>
          <wp:inline distT="0" distB="0" distL="0" distR="0" wp14:anchorId="66B094D6" wp14:editId="1F4AB354">
            <wp:extent cx="4206240" cy="2607869"/>
            <wp:effectExtent l="0" t="0" r="3810" b="254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11178" cy="2610931"/>
                    </a:xfrm>
                    <a:prstGeom prst="rect">
                      <a:avLst/>
                    </a:prstGeom>
                    <a:noFill/>
                  </pic:spPr>
                </pic:pic>
              </a:graphicData>
            </a:graphic>
          </wp:inline>
        </w:drawing>
      </w:r>
    </w:p>
    <w:p w14:paraId="5D329E79" w14:textId="77777777" w:rsidR="00B634C0" w:rsidRDefault="00B634C0" w:rsidP="00B634C0">
      <w:pPr>
        <w:spacing w:before="120"/>
        <w:jc w:val="both"/>
      </w:pPr>
      <w:r>
        <w:t>Creo yo que el énfasis está puesto en las personas que están a nuestro alrededor, y la importancia que supone continuar con la vida. Esto, a mi parecer, es la manera como vivimos aquello que nos hace personas.</w:t>
      </w:r>
      <w:r w:rsidRPr="00184C79">
        <w:t xml:space="preserve"> </w:t>
      </w:r>
      <w:r>
        <w:t>Es esto lo que nos toca seguir alimentando como Universidad, y de manera especial, lo que nos toca revisar y trabajar en este espacio.</w:t>
      </w:r>
    </w:p>
    <w:p w14:paraId="79F6670A" w14:textId="77777777" w:rsidR="00B634C0" w:rsidRPr="0088131D" w:rsidRDefault="00B634C0" w:rsidP="00B634C0">
      <w:pPr>
        <w:spacing w:before="120"/>
        <w:jc w:val="both"/>
      </w:pPr>
    </w:p>
    <w:p w14:paraId="7CDBD7BA" w14:textId="77777777" w:rsidR="00B634C0" w:rsidRDefault="00B634C0" w:rsidP="00B634C0">
      <w:pPr>
        <w:pStyle w:val="Prrafodelista"/>
        <w:numPr>
          <w:ilvl w:val="0"/>
          <w:numId w:val="1"/>
        </w:numPr>
        <w:spacing w:before="120"/>
        <w:jc w:val="both"/>
      </w:pPr>
      <w:r>
        <w:t xml:space="preserve">Lo que hemos ganado y lo que hemos perdido con la modernidad en términos de convivencia. </w:t>
      </w:r>
    </w:p>
    <w:p w14:paraId="08FB3B99" w14:textId="77777777" w:rsidR="004E78B8" w:rsidRDefault="004E78B8" w:rsidP="004E78B8">
      <w:pPr>
        <w:spacing w:before="120"/>
        <w:jc w:val="both"/>
      </w:pPr>
      <w:r>
        <w:t>Sin embargo, la modernidad nos ha individualizado -primero, en las concepciones que tenemos de nosotros mismos y, después, en nuestras prácticas-. Para algunos sociólogos, incluso, ya no podemos hablar de sociedad en el sentido de grandes representaciones colectivas de referencia, sino de “civilización de individuos”, esto es, de arreglos, cálculos y contratos entre individuos y la dominación de la coyuntura, más que de una estructura; y en donde es la experiencia individual del mundo la que la define (Bourdin, 2007). Por cierto, una experiencia individual que, para los estudiosos de este tema, es alimentada principalmente por la sensación de inseguridad y de riesgo que nos aleja todavía más (en la forma del temor al otro) de la convivencia como consideración primordial para nuestra vida.</w:t>
      </w:r>
    </w:p>
    <w:p w14:paraId="292A18E7" w14:textId="77777777" w:rsidR="004E78B8" w:rsidRDefault="004E78B8" w:rsidP="004E78B8">
      <w:pPr>
        <w:spacing w:before="120"/>
        <w:jc w:val="both"/>
      </w:pPr>
      <w:r>
        <w:t xml:space="preserve">Iván Illich (1974), definía esta característica propia de nuestro estado actual desde otro ángulo: decía él que el problema es que hemos puesto a la herramienta por encima del ser humano, esto es, que, de manera muy fácil, la sociedad moderna olvida, por sus propias condiciones, que la herramienta está al servicio de la persona, es decir, de la comunidad, y no al revés. </w:t>
      </w:r>
    </w:p>
    <w:p w14:paraId="466672DA" w14:textId="77777777" w:rsidR="00B634C0" w:rsidRDefault="00B634C0" w:rsidP="00B634C0">
      <w:pPr>
        <w:spacing w:before="120"/>
        <w:jc w:val="both"/>
      </w:pPr>
      <w:r>
        <w:t xml:space="preserve">Una sociedad que le llama usuario al huésped, usuario al comensal, usuario al viajero, usuario al paciente, usuario al o la estudiante… es una sociedad que ha puesto a la herramienta antes que a la persona y sus motivos. “El lenguaje refleja el monopolio que el modo industrial de producción ejerce sobre la percepción y la motivación” (1974: 134). Imaginemos, pues, a dónde podemos llegar, el nivel al que pueden llegar nuestros grandes problemas sociales, si el lenguaje configura nuestra percepción, y el lenguaje sigue siendo, o lo es cada vez más, el de la herramienta y no el de la persona </w:t>
      </w:r>
      <w:r>
        <w:lastRenderedPageBreak/>
        <w:t xml:space="preserve">y su convivencia. Por el contrario, imaginemos también el gran alcance de nuestras soluciones si el lenguaje lo dirigimos hacia el convivir. </w:t>
      </w:r>
    </w:p>
    <w:p w14:paraId="6350FDF1" w14:textId="77777777" w:rsidR="00B634C0" w:rsidRDefault="00B634C0" w:rsidP="00B634C0">
      <w:pPr>
        <w:autoSpaceDE w:val="0"/>
        <w:autoSpaceDN w:val="0"/>
        <w:adjustRightInd w:val="0"/>
        <w:spacing w:before="120" w:after="0" w:line="240" w:lineRule="auto"/>
        <w:jc w:val="both"/>
        <w:rPr>
          <w:rFonts w:cstheme="minorHAnsi"/>
        </w:rPr>
      </w:pPr>
      <w:r>
        <w:rPr>
          <w:rFonts w:cstheme="minorHAnsi"/>
        </w:rPr>
        <w:t>La</w:t>
      </w:r>
      <w:r w:rsidRPr="00613DBB">
        <w:rPr>
          <w:rFonts w:cstheme="minorHAnsi"/>
        </w:rPr>
        <w:t xml:space="preserve"> sociedad convivencia</w:t>
      </w:r>
      <w:r>
        <w:rPr>
          <w:rFonts w:cstheme="minorHAnsi"/>
        </w:rPr>
        <w:t>l, según Illich es</w:t>
      </w:r>
      <w:r w:rsidRPr="00613DBB">
        <w:rPr>
          <w:rFonts w:cstheme="minorHAnsi"/>
        </w:rPr>
        <w:t xml:space="preserve"> </w:t>
      </w:r>
      <w:r>
        <w:rPr>
          <w:rFonts w:cstheme="minorHAnsi"/>
        </w:rPr>
        <w:t>“</w:t>
      </w:r>
      <w:r w:rsidRPr="00613DBB">
        <w:rPr>
          <w:rFonts w:cstheme="minorHAnsi"/>
        </w:rPr>
        <w:t>aquella en que la herramienta moderna está al servicio de la persona integrada a la colectividad</w:t>
      </w:r>
      <w:r>
        <w:rPr>
          <w:rFonts w:cstheme="minorHAnsi"/>
        </w:rPr>
        <w:t>”</w:t>
      </w:r>
      <w:r w:rsidRPr="00613DBB">
        <w:rPr>
          <w:rFonts w:cstheme="minorHAnsi"/>
        </w:rPr>
        <w:t xml:space="preserve"> (1974: 13).</w:t>
      </w:r>
      <w:r>
        <w:rPr>
          <w:rFonts w:cstheme="minorHAnsi"/>
        </w:rPr>
        <w:t xml:space="preserve"> Esta concepción de colectividad, y su correspondiente giro en el lenguaje, es la clave para conducir el desarrollo técnico, pues el problema sabemos que está en la estructura inherente a la herramienta.</w:t>
      </w:r>
    </w:p>
    <w:p w14:paraId="352B0435" w14:textId="77777777" w:rsidR="00B634C0" w:rsidRDefault="00B634C0" w:rsidP="00B634C0">
      <w:pPr>
        <w:autoSpaceDE w:val="0"/>
        <w:autoSpaceDN w:val="0"/>
        <w:adjustRightInd w:val="0"/>
        <w:spacing w:before="120" w:after="0" w:line="240" w:lineRule="auto"/>
        <w:jc w:val="both"/>
        <w:rPr>
          <w:rFonts w:cstheme="minorHAnsi"/>
        </w:rPr>
      </w:pPr>
    </w:p>
    <w:p w14:paraId="4E4D302F" w14:textId="77777777" w:rsidR="00B634C0" w:rsidRPr="004215DA" w:rsidRDefault="00B634C0" w:rsidP="00B634C0">
      <w:pPr>
        <w:autoSpaceDE w:val="0"/>
        <w:autoSpaceDN w:val="0"/>
        <w:adjustRightInd w:val="0"/>
        <w:spacing w:before="120" w:after="0" w:line="240" w:lineRule="auto"/>
        <w:jc w:val="both"/>
        <w:rPr>
          <w:rFonts w:cstheme="minorHAnsi"/>
        </w:rPr>
      </w:pPr>
      <w:r>
        <w:rPr>
          <w:rFonts w:cstheme="minorHAnsi"/>
        </w:rPr>
        <w:t>Ahora…</w:t>
      </w:r>
    </w:p>
    <w:p w14:paraId="023E4721" w14:textId="77777777" w:rsidR="00B634C0" w:rsidRDefault="00B634C0" w:rsidP="00B634C0">
      <w:pPr>
        <w:spacing w:before="120"/>
        <w:jc w:val="both"/>
      </w:pPr>
    </w:p>
    <w:p w14:paraId="2A3B7E7A" w14:textId="77777777" w:rsidR="00B634C0" w:rsidRDefault="00B634C0" w:rsidP="00B634C0">
      <w:pPr>
        <w:pStyle w:val="Prrafodelista"/>
        <w:numPr>
          <w:ilvl w:val="0"/>
          <w:numId w:val="1"/>
        </w:numPr>
        <w:spacing w:before="120"/>
        <w:jc w:val="both"/>
      </w:pPr>
      <w:r>
        <w:t xml:space="preserve">¿Qué nuevos significados adquiere el verbo convivir, desde una lectura de nuestro contexto? </w:t>
      </w:r>
    </w:p>
    <w:p w14:paraId="476FDEB8" w14:textId="77777777" w:rsidR="00B634C0" w:rsidRDefault="00B634C0" w:rsidP="00B634C0">
      <w:pPr>
        <w:spacing w:before="120"/>
        <w:jc w:val="both"/>
        <w:rPr>
          <w:rFonts w:cstheme="minorHAnsi"/>
        </w:rPr>
      </w:pPr>
      <w:r>
        <w:rPr>
          <w:rFonts w:cstheme="minorHAnsi"/>
        </w:rPr>
        <w:t>En la clave de nuestra vida actual y nuestra cotidianidad, superponer la herramienta ha tenido sus repercusiones -a veces no evidentes- en nuestras relaciones, lo que nos puede llevar hacia su instrumentalización.  Como un ejemplo muy cercano, la tecnología digital, a pesar de fomentar la comunicación, ha contribuido también, paradójicamente, en el uso de nuestros vínculos en una clave utilitaria o instrumental. Adicionalmente, experimentamos a diario situaciones que nos hacen sentir desconfiados/as, inseguros/as, e incluso sujetos de diferentes tipos de violencias. Algunas de estas situaciones se enmarcan de manera muy directa en prácticas históricas y culturales de desigualdad y discriminación; otras, en cambio, más sutiles, pueden estar relacionadas con una ausencia de apertura (por ejemplo, con prejuicios), de cuidado, de dialogo, o de autocrítica.</w:t>
      </w:r>
    </w:p>
    <w:p w14:paraId="29C025DE" w14:textId="77777777" w:rsidR="00B634C0" w:rsidRDefault="00B634C0" w:rsidP="00B634C0">
      <w:pPr>
        <w:spacing w:before="120"/>
        <w:jc w:val="both"/>
        <w:rPr>
          <w:rFonts w:cstheme="minorHAnsi"/>
        </w:rPr>
      </w:pPr>
      <w:r>
        <w:rPr>
          <w:rFonts w:cstheme="minorHAnsi"/>
        </w:rPr>
        <w:t xml:space="preserve">Conviene entonces volver a preguntarnos por nuestra convivencia, por la naturaleza y el sentido de nuestros vínculos, y por su cuidado, desde nuestro contexto. </w:t>
      </w:r>
    </w:p>
    <w:p w14:paraId="4B797423" w14:textId="77777777" w:rsidR="00B634C0" w:rsidRDefault="00B634C0" w:rsidP="00B634C0">
      <w:pPr>
        <w:spacing w:before="120"/>
        <w:jc w:val="both"/>
      </w:pPr>
      <w:r>
        <w:t>Así pues, distinguimos diferentes problemas de convivencia y distintos niveles de violencia, pero también de la ausencia de un respeto muy básico… que se vive ya -de manera muy latente por ejemplo- en los espacios virtuales… Así, ante la pregunta que también se hizo a estudiantes de verano sobre ¿qué otras situaciones de su vida cotidiana les hacen sentir insegura/inseguro o violentada/violentado? Las respuestas fueron</w:t>
      </w:r>
    </w:p>
    <w:p w14:paraId="0D694F4A" w14:textId="77777777" w:rsidR="00B634C0" w:rsidRDefault="00B634C0" w:rsidP="00B634C0">
      <w:pPr>
        <w:spacing w:before="120"/>
        <w:jc w:val="center"/>
      </w:pPr>
      <w:r>
        <w:rPr>
          <w:noProof/>
          <w:lang w:eastAsia="es-MX"/>
        </w:rPr>
        <w:lastRenderedPageBreak/>
        <w:drawing>
          <wp:inline distT="0" distB="0" distL="0" distR="0" wp14:anchorId="0FCE7256" wp14:editId="7E051864">
            <wp:extent cx="5204460" cy="322676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06296" cy="3227903"/>
                    </a:xfrm>
                    <a:prstGeom prst="rect">
                      <a:avLst/>
                    </a:prstGeom>
                    <a:noFill/>
                  </pic:spPr>
                </pic:pic>
              </a:graphicData>
            </a:graphic>
          </wp:inline>
        </w:drawing>
      </w:r>
    </w:p>
    <w:p w14:paraId="1C1384EE" w14:textId="77777777" w:rsidR="00B634C0" w:rsidRDefault="00B634C0" w:rsidP="00B634C0">
      <w:pPr>
        <w:spacing w:before="120"/>
        <w:jc w:val="both"/>
      </w:pPr>
      <w:r>
        <w:t>Pareciera que la respuesta fácil ante estas situaciones que hacen trastabillar nuestra base de convivencia es el respeto, pero el respeto no puede suceder sin una mirada atenta (y aquí es donde pondría una primera propuesta que, al menos a mí me hace sentido). “Tratar a alguien con respeto es tratarle con atención” (nos dice Josep M. Esquirol, 2006).</w:t>
      </w:r>
    </w:p>
    <w:p w14:paraId="33DF5708" w14:textId="77777777" w:rsidR="00B634C0" w:rsidRDefault="00B634C0" w:rsidP="00B634C0">
      <w:pPr>
        <w:spacing w:before="120"/>
        <w:jc w:val="both"/>
      </w:pPr>
      <w:r>
        <w:t>Como se mencionó, la técnica ha impuesto una mirada que ha limitado la manera como el mundo se nos revela. La atención, en cambio es la que nos conecta con el mundo y es, a juicio de este autor, la mejor vacuna contra dogmatismos, ideologías y lenguajes meramente técnicos y, por ello, vacíos. “A falta de la conexión con el mundo, a falta de la experiencia de las cosas y de los otros, todo tiende a ser artificioso, las palabras no dicen ya las cosas, mis frases no responden ya a nada ni a nadie (pues ya no se es capaz de escuchar, ni de sentirse interpelado, ni de percatarse de los requerimientos de cada situación)…” (2006: 84).</w:t>
      </w:r>
    </w:p>
    <w:p w14:paraId="1A1AAD11" w14:textId="77777777" w:rsidR="00B634C0" w:rsidRDefault="00B634C0" w:rsidP="00B634C0">
      <w:pPr>
        <w:spacing w:before="120"/>
        <w:jc w:val="both"/>
      </w:pPr>
      <w:r>
        <w:t>Es así como mirar atentamente nos permite pensar en una primera respuesta ante aquello en lo que muchas veces participamos para generar problemas de convivencia, conflictos, hostilidad e incluso situaciones de violencia en nuestras relaciones interpersonales.</w:t>
      </w:r>
    </w:p>
    <w:p w14:paraId="0C6E32E1" w14:textId="77777777" w:rsidR="00B634C0" w:rsidRDefault="00B634C0" w:rsidP="00B634C0">
      <w:pPr>
        <w:spacing w:before="120"/>
        <w:jc w:val="both"/>
      </w:pPr>
    </w:p>
    <w:p w14:paraId="7AA2A313" w14:textId="77777777" w:rsidR="00B634C0" w:rsidRDefault="00B634C0" w:rsidP="00B634C0">
      <w:pPr>
        <w:pStyle w:val="Prrafodelista"/>
        <w:numPr>
          <w:ilvl w:val="0"/>
          <w:numId w:val="1"/>
        </w:numPr>
        <w:spacing w:before="120"/>
        <w:jc w:val="both"/>
      </w:pPr>
      <w:r>
        <w:t>¿Qué papel tiene la Universidad ante esta propuesta (en ello)?</w:t>
      </w:r>
    </w:p>
    <w:p w14:paraId="4C56F8BA" w14:textId="77777777" w:rsidR="00B634C0" w:rsidRDefault="00B634C0" w:rsidP="00B634C0">
      <w:pPr>
        <w:spacing w:before="120"/>
        <w:jc w:val="both"/>
      </w:pPr>
      <w:r>
        <w:t>Como les decía, creo firmemente que la Universidad es un espacio privilegiado para revisar el contenido de nuestro pacto de convivencia. Que, como ya vimos, hoy resulta un imperativo. Nos queda claro el papel que tiene de cara a la sociedad, en cuanto agente que tiene como una de sus misiones transformar las estructuras; y, en ese sentido, el contenido de ese pacto requiere del estudio sobre cuáles son las mejores maneras de convivir de acuerdo con nuestro contexto… (aquello que se hace y se hace bien).</w:t>
      </w:r>
    </w:p>
    <w:p w14:paraId="3F90D5E8" w14:textId="77777777" w:rsidR="00B634C0" w:rsidRPr="00C90C04" w:rsidRDefault="00B634C0" w:rsidP="00B634C0">
      <w:pPr>
        <w:spacing w:before="120"/>
        <w:jc w:val="both"/>
      </w:pPr>
      <w:r>
        <w:lastRenderedPageBreak/>
        <w:t xml:space="preserve">No obstante, eso no se puede lograr del todo, con las metas que quisiéramos, sin mirarnos internamente, sin llevar a cabo la convivencia desde adentro. Estamos obligados a formar comunidad, pero somos libres de decidir y conformar el tipo de comunidad que queremos. La pregunta siempre está abierta y es esta pregunta la que constantemente debe llevarnos a revisar el sentido de nuestros acuerdos, ahora internamente: ¿qué forma de convivencia queremos cultivar? </w:t>
      </w:r>
      <w:r w:rsidRPr="00C90C04">
        <w:t>Siempre ante el compromiso y desde la libertad…</w:t>
      </w:r>
    </w:p>
    <w:p w14:paraId="326AF30F" w14:textId="77777777" w:rsidR="00B634C0" w:rsidRDefault="00B634C0" w:rsidP="00B634C0">
      <w:pPr>
        <w:spacing w:before="120"/>
        <w:jc w:val="both"/>
      </w:pPr>
      <w:r w:rsidRPr="00C90C04">
        <w:t xml:space="preserve">Hoy identificamos la necesidad de un marco que nos lleve a la permanente construcción de una convivencia igualitaria… ¿Qué significa eso? A mi parecer, significa que queremos, como institución, acercarnos a un modo de convivir en el que los principios de igualdad, justicia, </w:t>
      </w:r>
      <w:r>
        <w:t>libertad y diversidad,</w:t>
      </w:r>
      <w:r w:rsidRPr="00C90C04">
        <w:t xml:space="preserve"> </w:t>
      </w:r>
      <w:r>
        <w:t xml:space="preserve">sean los orientadores para </w:t>
      </w:r>
      <w:r w:rsidRPr="00C90C04">
        <w:t>la revisión constante de nuestras posturas y práctica</w:t>
      </w:r>
      <w:r>
        <w:t>s,</w:t>
      </w:r>
      <w:r w:rsidRPr="00C90C04">
        <w:t xml:space="preserve"> y no desde mecanismos de denuncia y control. Esto supone apelar -no a instancias normativas- sino a la reflexividad, la ética y la autocrítica, como el</w:t>
      </w:r>
      <w:r>
        <w:t xml:space="preserve"> mismo Marco lo establece. Así que, si a mediano plazo, llegáramos a prescindir de documentos normativos, significaría un avance significativo, creo yo, en la construcción de nuestra comunidad. Y para ello, a mi parecer, necesitamos desarrollar la capacidad de mirar con atención (o al menos podríamos comenzar por aquí).</w:t>
      </w:r>
    </w:p>
    <w:p w14:paraId="4BFB4EC1" w14:textId="77777777" w:rsidR="00B634C0" w:rsidRDefault="00B634C0" w:rsidP="00B634C0">
      <w:pPr>
        <w:spacing w:before="120"/>
        <w:jc w:val="both"/>
      </w:pPr>
      <w:r>
        <w:t xml:space="preserve">Retomando a Esquirol, mirar atentamente nos pone a percibir de otra manera, así que, en un primer momento, resultará paradójico querer mirar bien y darnos cuenta que no miramos. Supone un esfuerzo: el de dirigir la mirada y concentrarse, sabiéndonos responsables de esa mirada (nos hace conscientes de nuestro lugar y nos conecta con el mundo). Podemos respetar porque vemos… Pero se trata de una mirada que hay que ejercitar todo el tiempo, y que tiene que ver con leer bien lo que se nos muestra: detenerse, vaciarse para abrirse a lo </w:t>
      </w:r>
      <w:r w:rsidRPr="00C20B5C">
        <w:t>otro, tomar</w:t>
      </w:r>
      <w:r>
        <w:t xml:space="preserve"> la justa distancia (en ocasiones será necesario enfocar y en otras habrá que abrirse), repetir la mirada, detenerse en lo más sencillo y habitual, </w:t>
      </w:r>
      <w:r w:rsidRPr="007A510C">
        <w:t>preguntar</w:t>
      </w:r>
      <w:r>
        <w:t xml:space="preserve">. Al preguntar, se transforma nuestra mirada, pero también se transforma lo que se mira. Viene, finalmente, el examen (lo que supone la actitud crítica y la búsqueda), y el diálogo.        </w:t>
      </w:r>
    </w:p>
    <w:p w14:paraId="030926D2" w14:textId="77777777" w:rsidR="00B634C0" w:rsidRDefault="00B634C0" w:rsidP="00B634C0">
      <w:pPr>
        <w:spacing w:before="120"/>
        <w:jc w:val="both"/>
      </w:pPr>
      <w:r w:rsidRPr="00CB6B86">
        <w:t xml:space="preserve">No mirar, en cambio, es tropezar, es pisar, es negar, y entonces nos mueve del lado contrario del respeto. Cuando no hemos puesto atención, hemos actuado atentando contra lo otro, y esto puede ser de muy diversas formas: </w:t>
      </w:r>
      <w:r>
        <w:t xml:space="preserve">invisibilizando, </w:t>
      </w:r>
      <w:r w:rsidRPr="00CB6B86">
        <w:t xml:space="preserve">no </w:t>
      </w:r>
      <w:r>
        <w:t>reconociendo</w:t>
      </w:r>
      <w:r w:rsidRPr="00CB6B86">
        <w:t>, faltando al respeto, agrediendo… Así que el trasfondo de nuestros problemas de convivencia está relacionado con una falta de atención</w:t>
      </w:r>
      <w:r>
        <w:t xml:space="preserve"> (estaba distraído/a dicen en mi pueblo)</w:t>
      </w:r>
      <w:r w:rsidRPr="00CB6B86">
        <w:t>.</w:t>
      </w:r>
      <w:r>
        <w:t xml:space="preserve"> Si ante la realidad ajena o, por ejemplo, el dolor ajeno, sólo reaccionamos al hecho sin sentirlo, es porque no prestamos suficiente atención.</w:t>
      </w:r>
    </w:p>
    <w:p w14:paraId="068C9D9B" w14:textId="77777777" w:rsidR="00B634C0" w:rsidRPr="00737E08" w:rsidRDefault="00B634C0" w:rsidP="00B634C0">
      <w:pPr>
        <w:spacing w:before="120"/>
        <w:jc w:val="both"/>
        <w:rPr>
          <w:highlight w:val="yellow"/>
        </w:rPr>
      </w:pPr>
      <w:r w:rsidRPr="001F3FAE">
        <w:t xml:space="preserve">La era tecnocientífica nos ha desencantado del mundo, lo que quiere decir que nos resulta menos enigmático, menos misterioso, menos propenso a la imaginación, lo que implica una menor necesidad </w:t>
      </w:r>
      <w:r w:rsidRPr="00D43318">
        <w:t>de atención de nuestra parte. Al mismo tiempo, en este contexto, nuestra atención tiene grandes competidores, lo sabemos: redes sociales, plataformas de contenidos o de comunicación, plataformas de consumo de bienes, etc., pero, además, esos competidores a los que nos exponemos a diario, es posible que estén promoviendo un discurso no favorable para el respeto y la convivencia (y más bien prejuiciado o ideologizado).  De ahí que sea indispensable volver a entrenar la mirada en el sentido antes descrito.</w:t>
      </w:r>
    </w:p>
    <w:p w14:paraId="5B86EBC5" w14:textId="77777777" w:rsidR="00B634C0" w:rsidRPr="00332AE0" w:rsidRDefault="00B634C0" w:rsidP="00B634C0">
      <w:pPr>
        <w:spacing w:before="120"/>
        <w:jc w:val="both"/>
      </w:pPr>
      <w:r>
        <w:t xml:space="preserve">La atención, dice este autor, es conocimiento y es afectividad. </w:t>
      </w:r>
      <w:r w:rsidRPr="00FC74D6">
        <w:t>Dicho así, tiene beneficios sobre la realidad física pero también en nuestra condición moral</w:t>
      </w:r>
      <w:r>
        <w:t>,</w:t>
      </w:r>
      <w:r w:rsidRPr="00FC74D6">
        <w:t xml:space="preserve"> en el sentido de tener una mayor conciencia sobre lo valioso y lo importante, además de que, en este proceso, nos permite </w:t>
      </w:r>
      <w:r w:rsidRPr="00332AE0">
        <w:lastRenderedPageBreak/>
        <w:t>descentrarnos de nosotros mismos. “Atender nos da acceso a una más ajustada percepción del yo” (2006: 109).  Nos orienta en la percepción de nuestra finitud y en la humildad.</w:t>
      </w:r>
    </w:p>
    <w:p w14:paraId="620FC1B3" w14:textId="77777777" w:rsidR="00B634C0" w:rsidRPr="00332AE0" w:rsidRDefault="00B634C0" w:rsidP="00B634C0">
      <w:pPr>
        <w:spacing w:before="120"/>
        <w:jc w:val="both"/>
      </w:pPr>
      <w:r w:rsidRPr="00332AE0">
        <w:t>Dicho sea de paso, ante la atención, nuestras relaciones solo pueden basarse en el respeto y la empatía, lo que naturalmente nos acerca a la convivencia igualitaria.</w:t>
      </w:r>
    </w:p>
    <w:p w14:paraId="1186E7C4" w14:textId="77777777" w:rsidR="00B634C0" w:rsidRDefault="00B634C0" w:rsidP="00B634C0">
      <w:pPr>
        <w:spacing w:before="120"/>
        <w:jc w:val="both"/>
      </w:pPr>
      <w:r w:rsidRPr="00332AE0">
        <w:t>La mirada atenta no es</w:t>
      </w:r>
      <w:r>
        <w:t>, pues,</w:t>
      </w:r>
      <w:r w:rsidRPr="00332AE0">
        <w:t xml:space="preserve"> un paréntesis en nuestras vidas, sino que debe formar parte de nuestra</w:t>
      </w:r>
      <w:r>
        <w:t xml:space="preserve"> cotidianidad y de nuestras trayectorias vitales. Puede estar presente muy sutilmente, pero sus efectos no son nada sutiles.</w:t>
      </w:r>
    </w:p>
    <w:p w14:paraId="7F7607B7" w14:textId="77777777" w:rsidR="00B634C0" w:rsidRDefault="00B634C0" w:rsidP="00B634C0">
      <w:pPr>
        <w:spacing w:before="120"/>
        <w:jc w:val="both"/>
      </w:pPr>
      <w:r>
        <w:t>Nuestro modo de convivir puede reproducir un sistema que ha generado grandes problemas o puede cambiar estructuras. Nos corresponde a cada uno/a generar las condiciones para que el ITESO sea, no solo un espacio libre de violencias (donde sus miembros ya no necesitemos apelar cada vez más y de manera más intensa a áreas normativas), sino que pueda ser un agente promotor de justicia y dignidad, comenzado desde adentro. Revisemos, pues, nuestra mirada, para entonces revisar el contenido de nuestros pactos y vínculos.</w:t>
      </w:r>
    </w:p>
    <w:p w14:paraId="6E12FC8D" w14:textId="77777777" w:rsidR="00B634C0" w:rsidRDefault="00B634C0" w:rsidP="00B634C0">
      <w:pPr>
        <w:spacing w:before="120"/>
        <w:jc w:val="both"/>
      </w:pPr>
      <w:r>
        <w:t>Ahora les devuelvo la pregunta: ¿Qué supone para ti mirar con atención?, ¿qué tipo de problemas se contrarrestarían si aprendiéramos a mirar-nos y mirar nuestro alrededor?</w:t>
      </w:r>
    </w:p>
    <w:p w14:paraId="696F9DD6" w14:textId="77777777" w:rsidR="00B634C0" w:rsidRDefault="00B634C0" w:rsidP="00B634C0">
      <w:pPr>
        <w:spacing w:before="120"/>
        <w:jc w:val="both"/>
      </w:pPr>
      <w:r>
        <w:t>Celebro el empuje que ustedes han dado a tantos temas en relación con la diversidad, y que nos ponen, a diferentes generaciones, a repensar incluso modelos de vida… En este sentido, ustedes tienen mucho qué decir y qué hacer para avanzar en la convivencia desde nuevos referentes, siempre pensados-analizados-reflexionados, es decir, con la debida mirada. Y la universidad es su casa para ello.</w:t>
      </w:r>
    </w:p>
    <w:p w14:paraId="7A071B3E" w14:textId="77777777" w:rsidR="00B634C0" w:rsidRDefault="00B634C0" w:rsidP="00B634C0">
      <w:pPr>
        <w:spacing w:before="120"/>
        <w:jc w:val="both"/>
      </w:pPr>
      <w:r>
        <w:t>Termino con una invitación. Hace 24 años, que comencé mi formación aquí, un profesor me dijo que mi estadía en la Universidad sería del tamaño que yo la hiciera. Y quisiera decirles algo similar: su experiencia aquí, su formación, puede ser algo condicionado y temporal, o puede ser algo enorme y transformador (para ustedes y los demás). Todo está puesto en estos momentos para que sea lo segundo. Ojalá su decisión sea también esa, pues la sociedad necesita de toda nuestra atención. Muchas gracias.</w:t>
      </w:r>
    </w:p>
    <w:p w14:paraId="7DAD0711" w14:textId="77777777" w:rsidR="00B634C0" w:rsidRDefault="00B634C0" w:rsidP="00B634C0">
      <w:pPr>
        <w:spacing w:before="120"/>
        <w:jc w:val="both"/>
      </w:pPr>
    </w:p>
    <w:p w14:paraId="71F50697" w14:textId="77777777" w:rsidR="00B634C0" w:rsidRPr="003724A6" w:rsidRDefault="00B634C0" w:rsidP="00B634C0">
      <w:pPr>
        <w:spacing w:before="120"/>
        <w:jc w:val="both"/>
        <w:rPr>
          <w:b/>
          <w:bCs/>
        </w:rPr>
      </w:pPr>
      <w:r w:rsidRPr="003724A6">
        <w:rPr>
          <w:b/>
          <w:bCs/>
        </w:rPr>
        <w:t>Referencias bibliográficas</w:t>
      </w:r>
    </w:p>
    <w:p w14:paraId="438BCDCD" w14:textId="052629A4" w:rsidR="000554D8" w:rsidRDefault="000554D8" w:rsidP="00B634C0">
      <w:pPr>
        <w:spacing w:before="120"/>
        <w:jc w:val="both"/>
      </w:pPr>
      <w:r>
        <w:t xml:space="preserve">Bourdin, Alain (2007). </w:t>
      </w:r>
      <w:r w:rsidRPr="00091E00">
        <w:rPr>
          <w:i/>
          <w:iCs/>
        </w:rPr>
        <w:t>La metrópoli de los individuos</w:t>
      </w:r>
      <w:r>
        <w:t>, Puebla: Universidad Iberoamericana Puebla.</w:t>
      </w:r>
    </w:p>
    <w:p w14:paraId="600AD2F4" w14:textId="5BBED8B0" w:rsidR="00B634C0" w:rsidRDefault="00B634C0" w:rsidP="00B634C0">
      <w:pPr>
        <w:spacing w:before="120"/>
        <w:jc w:val="both"/>
      </w:pPr>
      <w:r>
        <w:t xml:space="preserve">Illich, Iván (1985). </w:t>
      </w:r>
      <w:r w:rsidRPr="00141F77">
        <w:rPr>
          <w:i/>
          <w:iCs/>
        </w:rPr>
        <w:t>La convivencialidad</w:t>
      </w:r>
      <w:r>
        <w:t>, México: Editorial Joaquín Mortiz/Planeta.</w:t>
      </w:r>
    </w:p>
    <w:p w14:paraId="1A4BBD79" w14:textId="77777777" w:rsidR="00B634C0" w:rsidRDefault="00B634C0" w:rsidP="00B634C0">
      <w:pPr>
        <w:spacing w:before="120"/>
        <w:jc w:val="both"/>
      </w:pPr>
      <w:r>
        <w:t xml:space="preserve">Esquirol, Josep M. (2006). </w:t>
      </w:r>
      <w:r w:rsidRPr="002E7D60">
        <w:rPr>
          <w:i/>
          <w:iCs/>
        </w:rPr>
        <w:t>El respeto o la mirada atenta. Una ética para la era de la ciencia y la tecnología</w:t>
      </w:r>
      <w:r>
        <w:t>, Barcelona: Editorial Gedisa.</w:t>
      </w:r>
    </w:p>
    <w:p w14:paraId="4E93EAFB" w14:textId="77777777" w:rsidR="002771CE" w:rsidRDefault="00C9085B"/>
    <w:sectPr w:rsidR="002771CE">
      <w:foot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184ECE" w14:textId="77777777" w:rsidR="00C9085B" w:rsidRDefault="00C9085B">
      <w:pPr>
        <w:spacing w:after="0" w:line="240" w:lineRule="auto"/>
      </w:pPr>
      <w:r>
        <w:separator/>
      </w:r>
    </w:p>
  </w:endnote>
  <w:endnote w:type="continuationSeparator" w:id="0">
    <w:p w14:paraId="1506B465" w14:textId="77777777" w:rsidR="00C9085B" w:rsidRDefault="00C908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D03FAA" w14:textId="342FA353" w:rsidR="00B46AC6" w:rsidRDefault="000554D8">
    <w:pPr>
      <w:pStyle w:val="Piedepgina"/>
    </w:pPr>
    <w:r>
      <w:rPr>
        <w:noProof/>
        <w:color w:val="4472C4" w:themeColor="accent1"/>
        <w:lang w:eastAsia="es-MX"/>
      </w:rPr>
      <mc:AlternateContent>
        <mc:Choice Requires="wps">
          <w:drawing>
            <wp:anchor distT="0" distB="0" distL="114300" distR="114300" simplePos="0" relativeHeight="251659264" behindDoc="0" locked="0" layoutInCell="1" allowOverlap="1" wp14:anchorId="6FF8CB25" wp14:editId="369648B2">
              <wp:simplePos x="0" y="0"/>
              <wp:positionH relativeFrom="page">
                <wp:align>center</wp:align>
              </wp:positionH>
              <wp:positionV relativeFrom="page">
                <wp:align>center</wp:align>
              </wp:positionV>
              <wp:extent cx="7364730" cy="9528810"/>
              <wp:effectExtent l="0" t="0" r="26670" b="26670"/>
              <wp:wrapNone/>
              <wp:docPr id="452" name="Rectángulo 452"/>
              <wp:cNvGraphicFramePr/>
              <a:graphic xmlns:a="http://schemas.openxmlformats.org/drawingml/2006/main">
                <a:graphicData uri="http://schemas.microsoft.com/office/word/2010/wordprocessingShape">
                  <wps:wsp>
                    <wps:cNvSpPr/>
                    <wps:spPr>
                      <a:xfrm>
                        <a:off x="0" y="0"/>
                        <a:ext cx="7364730" cy="952881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4512CB6" id="Rectángulo 452" o:spid="_x0000_s1026" style="position:absolute;margin-left:0;margin-top:0;width:579.9pt;height:750.3pt;z-index:251659264;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" filled="f" strokecolor="#747070 [1614]" strokeweight="1.25pt">
              <w10:wrap anchorx="page" anchory="page"/>
            </v:rect>
          </w:pict>
        </mc:Fallback>
      </mc:AlternateContent>
    </w:r>
    <w:r>
      <w:rPr>
        <w:color w:val="4472C4" w:themeColor="accent1"/>
        <w:lang w:val="es-ES"/>
      </w:rPr>
      <w:t xml:space="preserve"> </w:t>
    </w:r>
    <w:r>
      <w:rPr>
        <w:rFonts w:asciiTheme="majorHAnsi" w:eastAsiaTheme="majorEastAsia" w:hAnsiTheme="majorHAnsi" w:cstheme="majorBidi"/>
        <w:color w:val="4472C4" w:themeColor="accent1"/>
        <w:sz w:val="20"/>
        <w:szCs w:val="20"/>
        <w:lang w:val="es-ES"/>
      </w:rPr>
      <w:t xml:space="preserve">pág. </w:t>
    </w:r>
    <w:r>
      <w:rPr>
        <w:rFonts w:eastAsiaTheme="minorEastAsia"/>
        <w:color w:val="4472C4" w:themeColor="accent1"/>
        <w:sz w:val="20"/>
        <w:szCs w:val="20"/>
      </w:rPr>
      <w:fldChar w:fldCharType="begin"/>
    </w:r>
    <w:r>
      <w:rPr>
        <w:color w:val="4472C4" w:themeColor="accent1"/>
        <w:sz w:val="20"/>
        <w:szCs w:val="20"/>
      </w:rPr>
      <w:instrText>PAGE    \* MERGEFORMAT</w:instrText>
    </w:r>
    <w:r>
      <w:rPr>
        <w:rFonts w:eastAsiaTheme="minorEastAsia"/>
        <w:color w:val="4472C4" w:themeColor="accent1"/>
        <w:sz w:val="20"/>
        <w:szCs w:val="20"/>
      </w:rPr>
      <w:fldChar w:fldCharType="separate"/>
    </w:r>
    <w:r w:rsidR="00A24BDC" w:rsidRPr="00A24BDC">
      <w:rPr>
        <w:rFonts w:asciiTheme="majorHAnsi" w:eastAsiaTheme="majorEastAsia" w:hAnsiTheme="majorHAnsi" w:cstheme="majorBidi"/>
        <w:noProof/>
        <w:color w:val="4472C4" w:themeColor="accent1"/>
        <w:sz w:val="20"/>
        <w:szCs w:val="20"/>
        <w:lang w:val="es-ES"/>
      </w:rPr>
      <w:t>1</w:t>
    </w:r>
    <w:r>
      <w:rPr>
        <w:rFonts w:asciiTheme="majorHAnsi" w:eastAsiaTheme="majorEastAsia" w:hAnsiTheme="majorHAnsi" w:cstheme="majorBidi"/>
        <w:color w:val="4472C4" w:themeColor="accent1"/>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3BC4AA" w14:textId="77777777" w:rsidR="00C9085B" w:rsidRDefault="00C9085B">
      <w:pPr>
        <w:spacing w:after="0" w:line="240" w:lineRule="auto"/>
      </w:pPr>
      <w:r>
        <w:separator/>
      </w:r>
    </w:p>
  </w:footnote>
  <w:footnote w:type="continuationSeparator" w:id="0">
    <w:p w14:paraId="38A4458B" w14:textId="77777777" w:rsidR="00C9085B" w:rsidRDefault="00C9085B">
      <w:pPr>
        <w:spacing w:after="0" w:line="240" w:lineRule="auto"/>
      </w:pPr>
      <w:r>
        <w:continuationSeparator/>
      </w:r>
    </w:p>
  </w:footnote>
  <w:footnote w:id="1">
    <w:p w14:paraId="578BE071" w14:textId="61314180" w:rsidR="00A24BDC" w:rsidRDefault="00A24BDC">
      <w:pPr>
        <w:pStyle w:val="Textonotapie"/>
      </w:pPr>
      <w:r>
        <w:rPr>
          <w:rStyle w:val="Refdenotaalpie"/>
        </w:rPr>
        <w:footnoteRef/>
      </w:r>
      <w:r>
        <w:t xml:space="preserve"> Directora del Departamento de Formación Humana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687B98"/>
    <w:multiLevelType w:val="hybridMultilevel"/>
    <w:tmpl w:val="9FFE826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63F62857"/>
    <w:multiLevelType w:val="hybridMultilevel"/>
    <w:tmpl w:val="7882892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4C0"/>
    <w:rsid w:val="000554D8"/>
    <w:rsid w:val="001D6F3D"/>
    <w:rsid w:val="00400F97"/>
    <w:rsid w:val="004E78B8"/>
    <w:rsid w:val="00585E7C"/>
    <w:rsid w:val="005955A4"/>
    <w:rsid w:val="0069095F"/>
    <w:rsid w:val="00713223"/>
    <w:rsid w:val="00864881"/>
    <w:rsid w:val="00A24BDC"/>
    <w:rsid w:val="00AC352B"/>
    <w:rsid w:val="00B634C0"/>
    <w:rsid w:val="00C9085B"/>
    <w:rsid w:val="00D3790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111FEA"/>
  <w15:chartTrackingRefBased/>
  <w15:docId w15:val="{DDCD4521-1FCC-426A-9C72-7056CB8E7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34C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634C0"/>
    <w:pPr>
      <w:ind w:left="720"/>
      <w:contextualSpacing/>
    </w:pPr>
  </w:style>
  <w:style w:type="character" w:styleId="Refdecomentario">
    <w:name w:val="annotation reference"/>
    <w:basedOn w:val="Fuentedeprrafopredeter"/>
    <w:uiPriority w:val="99"/>
    <w:semiHidden/>
    <w:unhideWhenUsed/>
    <w:rsid w:val="00B634C0"/>
    <w:rPr>
      <w:sz w:val="16"/>
      <w:szCs w:val="16"/>
    </w:rPr>
  </w:style>
  <w:style w:type="paragraph" w:styleId="Textocomentario">
    <w:name w:val="annotation text"/>
    <w:basedOn w:val="Normal"/>
    <w:link w:val="TextocomentarioCar"/>
    <w:uiPriority w:val="99"/>
    <w:semiHidden/>
    <w:unhideWhenUsed/>
    <w:rsid w:val="00B634C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634C0"/>
    <w:rPr>
      <w:sz w:val="20"/>
      <w:szCs w:val="20"/>
    </w:rPr>
  </w:style>
  <w:style w:type="paragraph" w:styleId="Piedepgina">
    <w:name w:val="footer"/>
    <w:basedOn w:val="Normal"/>
    <w:link w:val="PiedepginaCar"/>
    <w:uiPriority w:val="99"/>
    <w:unhideWhenUsed/>
    <w:rsid w:val="00B634C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634C0"/>
  </w:style>
  <w:style w:type="paragraph" w:styleId="NormalWeb">
    <w:name w:val="Normal (Web)"/>
    <w:basedOn w:val="Normal"/>
    <w:uiPriority w:val="99"/>
    <w:unhideWhenUsed/>
    <w:rsid w:val="00B634C0"/>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nfasis">
    <w:name w:val="Emphasis"/>
    <w:basedOn w:val="Fuentedeprrafopredeter"/>
    <w:uiPriority w:val="20"/>
    <w:qFormat/>
    <w:rsid w:val="00B634C0"/>
    <w:rPr>
      <w:i/>
      <w:iCs/>
    </w:rPr>
  </w:style>
  <w:style w:type="paragraph" w:styleId="Textonotapie">
    <w:name w:val="footnote text"/>
    <w:basedOn w:val="Normal"/>
    <w:link w:val="TextonotapieCar"/>
    <w:uiPriority w:val="99"/>
    <w:semiHidden/>
    <w:unhideWhenUsed/>
    <w:rsid w:val="00A24BD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24BDC"/>
    <w:rPr>
      <w:sz w:val="20"/>
      <w:szCs w:val="20"/>
    </w:rPr>
  </w:style>
  <w:style w:type="character" w:styleId="Refdenotaalpie">
    <w:name w:val="footnote reference"/>
    <w:basedOn w:val="Fuentedeprrafopredeter"/>
    <w:uiPriority w:val="99"/>
    <w:semiHidden/>
    <w:unhideWhenUsed/>
    <w:rsid w:val="00A24BD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E15A75-B1E7-4CEE-ACEA-2C888D5C50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2360</Words>
  <Characters>12982</Characters>
  <Application>Microsoft Office Word</Application>
  <DocSecurity>0</DocSecurity>
  <Lines>108</Lines>
  <Paragraphs>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 LA TORRE DIAZ, ALEJANDRA</dc:creator>
  <cp:keywords/>
  <dc:description/>
  <cp:lastModifiedBy>HERNANDEZ CARMONA, HILDA ELENA</cp:lastModifiedBy>
  <cp:revision>2</cp:revision>
  <dcterms:created xsi:type="dcterms:W3CDTF">2023-09-01T21:01:00Z</dcterms:created>
  <dcterms:modified xsi:type="dcterms:W3CDTF">2023-09-01T21:01:00Z</dcterms:modified>
</cp:coreProperties>
</file>